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BAC4C" w14:textId="77777777" w:rsidR="00D405A5" w:rsidRPr="00B216E2" w:rsidRDefault="00D405A5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99F55D" w14:textId="1B2F78DB" w:rsidR="00EA4FFB" w:rsidRPr="00EA4FFB" w:rsidRDefault="00EA4FFB" w:rsidP="00EA4F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156983808"/>
      <w:bookmarkStart w:id="1" w:name="_GoBack"/>
      <w:r w:rsidRPr="00EA4FFB">
        <w:rPr>
          <w:rFonts w:ascii="Times New Roman" w:hAnsi="Times New Roman" w:cs="Times New Roman"/>
          <w:sz w:val="24"/>
          <w:szCs w:val="24"/>
        </w:rPr>
        <w:t xml:space="preserve">17th Equality, Diversity, &amp; Inclusion </w:t>
      </w:r>
      <w:r w:rsidR="007678F0">
        <w:rPr>
          <w:rFonts w:ascii="Times New Roman" w:hAnsi="Times New Roman" w:cs="Times New Roman"/>
          <w:sz w:val="24"/>
          <w:szCs w:val="24"/>
        </w:rPr>
        <w:t>C</w:t>
      </w:r>
      <w:r w:rsidRPr="00EA4FFB">
        <w:rPr>
          <w:rFonts w:ascii="Times New Roman" w:hAnsi="Times New Roman" w:cs="Times New Roman"/>
          <w:sz w:val="24"/>
          <w:szCs w:val="24"/>
        </w:rPr>
        <w:t>onference</w:t>
      </w:r>
      <w:r w:rsidRPr="00EA4FFB">
        <w:rPr>
          <w:rFonts w:ascii="Times New Roman" w:hAnsi="Times New Roman" w:cs="Times New Roman"/>
          <w:sz w:val="24"/>
          <w:szCs w:val="24"/>
        </w:rPr>
        <w:br/>
      </w:r>
      <w:bookmarkEnd w:id="0"/>
      <w:bookmarkEnd w:id="1"/>
      <w:r w:rsidRPr="00EA4FFB">
        <w:rPr>
          <w:rFonts w:ascii="Times New Roman" w:hAnsi="Times New Roman" w:cs="Times New Roman"/>
          <w:sz w:val="24"/>
          <w:szCs w:val="24"/>
        </w:rPr>
        <w:t>May 27-28-29, Seville, Spain</w:t>
      </w:r>
    </w:p>
    <w:p w14:paraId="6691F2F7" w14:textId="77777777" w:rsidR="00EA4FFB" w:rsidRDefault="00EA4FFB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205E8C" w14:textId="6DAB7AC6" w:rsidR="00EB5AB8" w:rsidRPr="00B216E2" w:rsidRDefault="00B216E2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F86">
        <w:rPr>
          <w:rFonts w:ascii="Times New Roman" w:hAnsi="Times New Roman" w:cs="Times New Roman"/>
          <w:b/>
          <w:sz w:val="24"/>
          <w:szCs w:val="24"/>
        </w:rPr>
        <w:t>Stream Chairs</w:t>
      </w:r>
      <w:r w:rsidR="00EB5AB8" w:rsidRPr="00290F8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B5AB8" w:rsidRPr="00B216E2">
        <w:rPr>
          <w:rFonts w:ascii="Times New Roman" w:hAnsi="Times New Roman" w:cs="Times New Roman"/>
          <w:sz w:val="24"/>
          <w:szCs w:val="24"/>
        </w:rPr>
        <w:t>Laura Lamolla Kristiansen and Conxita Folguera Bellmunt</w:t>
      </w:r>
    </w:p>
    <w:p w14:paraId="2E751911" w14:textId="543EF917" w:rsidR="00B644A8" w:rsidRPr="00B216E2" w:rsidRDefault="00B644A8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b/>
          <w:sz w:val="24"/>
          <w:szCs w:val="24"/>
        </w:rPr>
        <w:t xml:space="preserve">Title: </w:t>
      </w:r>
      <w:r w:rsidR="000A239B" w:rsidRPr="00B216E2">
        <w:rPr>
          <w:rFonts w:ascii="Times New Roman" w:hAnsi="Times New Roman" w:cs="Times New Roman"/>
          <w:sz w:val="24"/>
          <w:szCs w:val="24"/>
        </w:rPr>
        <w:t xml:space="preserve">Working Time </w:t>
      </w:r>
      <w:r w:rsidR="0085459D" w:rsidRPr="00B216E2">
        <w:rPr>
          <w:rFonts w:ascii="Times New Roman" w:hAnsi="Times New Roman" w:cs="Times New Roman"/>
          <w:sz w:val="24"/>
          <w:szCs w:val="24"/>
        </w:rPr>
        <w:t xml:space="preserve">and </w:t>
      </w:r>
      <w:r w:rsidR="00EA4FFB">
        <w:rPr>
          <w:rFonts w:ascii="Times New Roman" w:hAnsi="Times New Roman" w:cs="Times New Roman"/>
          <w:sz w:val="24"/>
          <w:szCs w:val="24"/>
        </w:rPr>
        <w:t>W</w:t>
      </w:r>
      <w:r w:rsidR="0085459D" w:rsidRPr="00B216E2">
        <w:rPr>
          <w:rFonts w:ascii="Times New Roman" w:hAnsi="Times New Roman" w:cs="Times New Roman"/>
          <w:sz w:val="24"/>
          <w:szCs w:val="24"/>
        </w:rPr>
        <w:t xml:space="preserve">orking </w:t>
      </w:r>
      <w:r w:rsidR="00EA4FFB">
        <w:rPr>
          <w:rFonts w:ascii="Times New Roman" w:hAnsi="Times New Roman" w:cs="Times New Roman"/>
          <w:sz w:val="24"/>
          <w:szCs w:val="24"/>
        </w:rPr>
        <w:t>T</w:t>
      </w:r>
      <w:r w:rsidR="0085459D" w:rsidRPr="00B216E2">
        <w:rPr>
          <w:rFonts w:ascii="Times New Roman" w:hAnsi="Times New Roman" w:cs="Times New Roman"/>
          <w:sz w:val="24"/>
          <w:szCs w:val="24"/>
        </w:rPr>
        <w:t xml:space="preserve">ime </w:t>
      </w:r>
      <w:r w:rsidR="00EA4FFB">
        <w:rPr>
          <w:rFonts w:ascii="Times New Roman" w:hAnsi="Times New Roman" w:cs="Times New Roman"/>
          <w:sz w:val="24"/>
          <w:szCs w:val="24"/>
        </w:rPr>
        <w:t>P</w:t>
      </w:r>
      <w:r w:rsidR="000A239B" w:rsidRPr="00B216E2">
        <w:rPr>
          <w:rFonts w:ascii="Times New Roman" w:hAnsi="Times New Roman" w:cs="Times New Roman"/>
          <w:sz w:val="24"/>
          <w:szCs w:val="24"/>
        </w:rPr>
        <w:t>references</w:t>
      </w:r>
      <w:r w:rsidR="00EA4FFB">
        <w:rPr>
          <w:rFonts w:ascii="Times New Roman" w:hAnsi="Times New Roman" w:cs="Times New Roman"/>
          <w:sz w:val="24"/>
          <w:szCs w:val="24"/>
        </w:rPr>
        <w:t xml:space="preserve"> (WTP)</w:t>
      </w:r>
      <w:r w:rsidR="000A239B" w:rsidRPr="00B216E2">
        <w:rPr>
          <w:rFonts w:ascii="Times New Roman" w:hAnsi="Times New Roman" w:cs="Times New Roman"/>
          <w:sz w:val="24"/>
          <w:szCs w:val="24"/>
        </w:rPr>
        <w:t xml:space="preserve"> across the gender spectrum </w:t>
      </w:r>
    </w:p>
    <w:p w14:paraId="72360A7C" w14:textId="77777777" w:rsidR="00290F86" w:rsidRDefault="00290F86" w:rsidP="00B216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6F5E9" w14:textId="44A8772F" w:rsidR="007F110B" w:rsidRPr="00B216E2" w:rsidRDefault="0085459D" w:rsidP="00B216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Working time has evolved over time and across societie</w:t>
      </w:r>
      <w:r w:rsidR="00290F86">
        <w:rPr>
          <w:rFonts w:ascii="Times New Roman" w:hAnsi="Times New Roman" w:cs="Times New Roman"/>
          <w:sz w:val="24"/>
          <w:szCs w:val="24"/>
        </w:rPr>
        <w:t>s</w:t>
      </w:r>
      <w:r w:rsidRPr="00B216E2">
        <w:rPr>
          <w:rFonts w:ascii="Times New Roman" w:hAnsi="Times New Roman" w:cs="Times New Roman"/>
          <w:sz w:val="24"/>
          <w:szCs w:val="24"/>
        </w:rPr>
        <w:t>.</w:t>
      </w:r>
      <w:r w:rsidR="00290F86">
        <w:rPr>
          <w:rFonts w:ascii="Times New Roman" w:hAnsi="Times New Roman" w:cs="Times New Roman"/>
          <w:sz w:val="24"/>
          <w:szCs w:val="24"/>
        </w:rPr>
        <w:t xml:space="preserve"> </w:t>
      </w:r>
      <w:r w:rsidR="00B216E2" w:rsidRPr="00B216E2">
        <w:rPr>
          <w:rFonts w:ascii="Times New Roman" w:hAnsi="Times New Roman" w:cs="Times New Roman"/>
          <w:sz w:val="24"/>
          <w:szCs w:val="24"/>
        </w:rPr>
        <w:t xml:space="preserve">A recent report from the </w:t>
      </w:r>
      <w:r w:rsidR="00EA4FFB">
        <w:rPr>
          <w:rFonts w:ascii="Times New Roman" w:hAnsi="Times New Roman" w:cs="Times New Roman"/>
          <w:sz w:val="24"/>
          <w:szCs w:val="24"/>
        </w:rPr>
        <w:t>International Labor Organization (</w:t>
      </w:r>
      <w:r w:rsidR="00B216E2" w:rsidRPr="00B216E2">
        <w:rPr>
          <w:rFonts w:ascii="Times New Roman" w:hAnsi="Times New Roman" w:cs="Times New Roman"/>
          <w:sz w:val="24"/>
          <w:szCs w:val="24"/>
        </w:rPr>
        <w:t>ILO</w:t>
      </w:r>
      <w:r w:rsidR="00EA4FFB">
        <w:rPr>
          <w:rFonts w:ascii="Times New Roman" w:hAnsi="Times New Roman" w:cs="Times New Roman"/>
          <w:sz w:val="24"/>
          <w:szCs w:val="24"/>
        </w:rPr>
        <w:t xml:space="preserve">, </w:t>
      </w:r>
      <w:r w:rsidR="00B216E2" w:rsidRPr="00B216E2">
        <w:rPr>
          <w:rFonts w:ascii="Times New Roman" w:hAnsi="Times New Roman" w:cs="Times New Roman"/>
          <w:sz w:val="24"/>
          <w:szCs w:val="24"/>
        </w:rPr>
        <w:t xml:space="preserve">2022) indicates that working hours have stabilized around 38 hours in Europe and Central Asia. In those countries where the reduction has been greater, </w:t>
      </w:r>
      <w:r w:rsidR="00EA4FFB">
        <w:rPr>
          <w:rFonts w:ascii="Times New Roman" w:hAnsi="Times New Roman" w:cs="Times New Roman"/>
          <w:sz w:val="24"/>
          <w:szCs w:val="24"/>
        </w:rPr>
        <w:t>working hours are</w:t>
      </w:r>
      <w:r w:rsidR="00B216E2" w:rsidRPr="00B216E2">
        <w:rPr>
          <w:rFonts w:ascii="Times New Roman" w:hAnsi="Times New Roman" w:cs="Times New Roman"/>
          <w:sz w:val="24"/>
          <w:szCs w:val="24"/>
        </w:rPr>
        <w:t xml:space="preserve"> around 35</w:t>
      </w:r>
      <w:r w:rsidR="00EA4FFB">
        <w:rPr>
          <w:rFonts w:ascii="Times New Roman" w:hAnsi="Times New Roman" w:cs="Times New Roman"/>
          <w:sz w:val="24"/>
          <w:szCs w:val="24"/>
        </w:rPr>
        <w:t xml:space="preserve"> hours/week</w:t>
      </w:r>
      <w:r w:rsidR="00B216E2" w:rsidRPr="00B216E2">
        <w:rPr>
          <w:rFonts w:ascii="Times New Roman" w:hAnsi="Times New Roman" w:cs="Times New Roman"/>
          <w:sz w:val="24"/>
          <w:szCs w:val="24"/>
        </w:rPr>
        <w:t>. Data from the European Commission indicate</w:t>
      </w:r>
      <w:r w:rsidR="00290F86">
        <w:rPr>
          <w:rFonts w:ascii="Times New Roman" w:hAnsi="Times New Roman" w:cs="Times New Roman"/>
          <w:sz w:val="24"/>
          <w:szCs w:val="24"/>
        </w:rPr>
        <w:t>s</w:t>
      </w:r>
      <w:r w:rsidR="00B216E2" w:rsidRPr="00B216E2">
        <w:rPr>
          <w:rFonts w:ascii="Times New Roman" w:hAnsi="Times New Roman" w:cs="Times New Roman"/>
          <w:sz w:val="24"/>
          <w:szCs w:val="24"/>
        </w:rPr>
        <w:t xml:space="preserve"> an average of 37.5 hours in the EU, with the lowest being in the Netherlands (33.2), Germany (35.3), and Denmark (35.4).</w:t>
      </w:r>
    </w:p>
    <w:p w14:paraId="25564B39" w14:textId="1C0E0B91" w:rsidR="000A239B" w:rsidRPr="00B216E2" w:rsidRDefault="005A1104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R</w:t>
      </w:r>
      <w:r w:rsidR="0009006A" w:rsidRPr="00B216E2">
        <w:rPr>
          <w:rFonts w:ascii="Times New Roman" w:hAnsi="Times New Roman" w:cs="Times New Roman"/>
          <w:sz w:val="24"/>
          <w:szCs w:val="24"/>
        </w:rPr>
        <w:t xml:space="preserve">esearch on working time preferences </w:t>
      </w:r>
      <w:r w:rsidRPr="00B216E2">
        <w:rPr>
          <w:rFonts w:ascii="Times New Roman" w:hAnsi="Times New Roman" w:cs="Times New Roman"/>
          <w:sz w:val="24"/>
          <w:szCs w:val="24"/>
        </w:rPr>
        <w:t xml:space="preserve">has stated the difficulty of investigating preferences (Campbell and 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van </w:t>
      </w:r>
      <w:proofErr w:type="spellStart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Wanrooy</w:t>
      </w:r>
      <w:proofErr w:type="spellEnd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2013) and the importance of societal institutional systems and national working-time regimes </w:t>
      </w:r>
      <w:r w:rsidR="00EA4F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when doing it 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Pr="00B216E2">
        <w:rPr>
          <w:rFonts w:ascii="Times New Roman" w:hAnsi="Times New Roman" w:cs="Times New Roman"/>
          <w:sz w:val="24"/>
          <w:szCs w:val="24"/>
        </w:rPr>
        <w:t>Fagan</w:t>
      </w:r>
      <w:r w:rsidR="00290F86">
        <w:rPr>
          <w:rFonts w:ascii="Times New Roman" w:hAnsi="Times New Roman" w:cs="Times New Roman"/>
          <w:sz w:val="24"/>
          <w:szCs w:val="24"/>
        </w:rPr>
        <w:t xml:space="preserve">, </w:t>
      </w:r>
      <w:r w:rsidRPr="00B216E2">
        <w:rPr>
          <w:rFonts w:ascii="Times New Roman" w:hAnsi="Times New Roman" w:cs="Times New Roman"/>
          <w:sz w:val="24"/>
          <w:szCs w:val="24"/>
        </w:rPr>
        <w:t>2001).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Research indicates also a</w:t>
      </w:r>
      <w:r w:rsidR="00EA4F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 increasing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tendency towards preference for less working hours (</w:t>
      </w:r>
      <w:proofErr w:type="spellStart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Balderson</w:t>
      </w:r>
      <w:proofErr w:type="spellEnd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EA4FFB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et al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.,2021</w:t>
      </w:r>
      <w:r w:rsidR="00EA4F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;</w:t>
      </w:r>
      <w:r w:rsidR="0009006A" w:rsidRPr="00B216E2">
        <w:rPr>
          <w:rFonts w:ascii="Times New Roman" w:hAnsi="Times New Roman" w:cs="Times New Roman"/>
          <w:sz w:val="24"/>
          <w:szCs w:val="24"/>
        </w:rPr>
        <w:t xml:space="preserve"> </w:t>
      </w:r>
      <w:r w:rsidR="006E00E4">
        <w:rPr>
          <w:rFonts w:ascii="Times New Roman" w:hAnsi="Times New Roman" w:cs="Times New Roman"/>
          <w:sz w:val="24"/>
          <w:szCs w:val="24"/>
        </w:rPr>
        <w:t>Other findings</w:t>
      </w:r>
      <w:r w:rsidRPr="00B216E2">
        <w:rPr>
          <w:rFonts w:ascii="Times New Roman" w:hAnsi="Times New Roman" w:cs="Times New Roman"/>
          <w:sz w:val="24"/>
          <w:szCs w:val="24"/>
        </w:rPr>
        <w:t xml:space="preserve"> </w:t>
      </w:r>
      <w:r w:rsidR="00F07150" w:rsidRPr="00B216E2">
        <w:rPr>
          <w:rFonts w:ascii="Times New Roman" w:hAnsi="Times New Roman" w:cs="Times New Roman"/>
          <w:sz w:val="24"/>
          <w:szCs w:val="24"/>
        </w:rPr>
        <w:t>suggested</w:t>
      </w:r>
      <w:r w:rsidRPr="00B216E2">
        <w:rPr>
          <w:rFonts w:ascii="Times New Roman" w:hAnsi="Times New Roman" w:cs="Times New Roman"/>
          <w:sz w:val="24"/>
          <w:szCs w:val="24"/>
        </w:rPr>
        <w:t xml:space="preserve"> differences in preferences over life course </w:t>
      </w:r>
      <w:r w:rsidR="00F07150" w:rsidRPr="00B216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07150" w:rsidRPr="00B216E2">
        <w:rPr>
          <w:rFonts w:ascii="Times New Roman" w:hAnsi="Times New Roman" w:cs="Times New Roman"/>
          <w:sz w:val="24"/>
          <w:szCs w:val="24"/>
        </w:rPr>
        <w:t>Anxo</w:t>
      </w:r>
      <w:proofErr w:type="spellEnd"/>
      <w:r w:rsidR="00F07150" w:rsidRPr="00B216E2">
        <w:rPr>
          <w:rFonts w:ascii="Times New Roman" w:hAnsi="Times New Roman" w:cs="Times New Roman"/>
          <w:sz w:val="24"/>
          <w:szCs w:val="24"/>
        </w:rPr>
        <w:t xml:space="preserve"> </w:t>
      </w:r>
      <w:r w:rsidR="00F07150" w:rsidRPr="00EA4FFB">
        <w:rPr>
          <w:rFonts w:ascii="Times New Roman" w:hAnsi="Times New Roman" w:cs="Times New Roman"/>
          <w:i/>
          <w:sz w:val="24"/>
          <w:szCs w:val="24"/>
        </w:rPr>
        <w:t>et al</w:t>
      </w:r>
      <w:r w:rsidR="00F07150" w:rsidRPr="00B216E2">
        <w:rPr>
          <w:rFonts w:ascii="Times New Roman" w:hAnsi="Times New Roman" w:cs="Times New Roman"/>
          <w:sz w:val="24"/>
          <w:szCs w:val="24"/>
        </w:rPr>
        <w:t>., 2011)</w:t>
      </w:r>
      <w:r w:rsidR="00D376A6" w:rsidRPr="00B216E2">
        <w:rPr>
          <w:rFonts w:ascii="Times New Roman" w:hAnsi="Times New Roman" w:cs="Times New Roman"/>
          <w:sz w:val="24"/>
          <w:szCs w:val="24"/>
        </w:rPr>
        <w:t xml:space="preserve">. </w:t>
      </w:r>
      <w:r w:rsidR="00694E46" w:rsidRPr="00B216E2">
        <w:rPr>
          <w:rFonts w:ascii="Times New Roman" w:hAnsi="Times New Roman" w:cs="Times New Roman"/>
          <w:sz w:val="24"/>
          <w:szCs w:val="24"/>
        </w:rPr>
        <w:t>Existing theories of preference formation</w:t>
      </w:r>
      <w:r w:rsidR="002A1E7F">
        <w:rPr>
          <w:rFonts w:ascii="Times New Roman" w:hAnsi="Times New Roman" w:cs="Times New Roman"/>
          <w:sz w:val="24"/>
          <w:szCs w:val="24"/>
        </w:rPr>
        <w:t xml:space="preserve">, </w:t>
      </w:r>
      <w:r w:rsidR="00694E46" w:rsidRPr="00B216E2">
        <w:rPr>
          <w:rFonts w:ascii="Times New Roman" w:hAnsi="Times New Roman" w:cs="Times New Roman"/>
          <w:sz w:val="24"/>
          <w:szCs w:val="24"/>
        </w:rPr>
        <w:t>(Hakim, 1996 and 2003; Johnstone and Lee, 2016</w:t>
      </w:r>
      <w:r w:rsidR="002A1E7F">
        <w:rPr>
          <w:rFonts w:ascii="Times New Roman" w:hAnsi="Times New Roman" w:cs="Times New Roman"/>
          <w:sz w:val="24"/>
          <w:szCs w:val="24"/>
        </w:rPr>
        <w:t>) and scholars discussing them (</w:t>
      </w:r>
      <w:proofErr w:type="spellStart"/>
      <w:r w:rsidR="002A1E7F" w:rsidRPr="00B216E2">
        <w:rPr>
          <w:rFonts w:ascii="Times New Roman" w:hAnsi="Times New Roman" w:cs="Times New Roman"/>
          <w:sz w:val="24"/>
          <w:szCs w:val="24"/>
        </w:rPr>
        <w:t>Leathy</w:t>
      </w:r>
      <w:proofErr w:type="spellEnd"/>
      <w:r w:rsidR="002A1E7F" w:rsidRPr="00B216E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A1E7F" w:rsidRPr="00B216E2">
        <w:rPr>
          <w:rFonts w:ascii="Times New Roman" w:hAnsi="Times New Roman" w:cs="Times New Roman"/>
          <w:sz w:val="24"/>
          <w:szCs w:val="24"/>
        </w:rPr>
        <w:t>Doughney</w:t>
      </w:r>
      <w:proofErr w:type="spellEnd"/>
      <w:r w:rsidR="002A1E7F">
        <w:rPr>
          <w:rFonts w:ascii="Times New Roman" w:hAnsi="Times New Roman" w:cs="Times New Roman"/>
          <w:sz w:val="24"/>
          <w:szCs w:val="24"/>
        </w:rPr>
        <w:t xml:space="preserve">, </w:t>
      </w:r>
      <w:r w:rsidR="002A1E7F">
        <w:rPr>
          <w:rFonts w:ascii="Times New Roman" w:hAnsi="Times New Roman" w:cs="Times New Roman"/>
          <w:sz w:val="24"/>
          <w:szCs w:val="24"/>
        </w:rPr>
        <w:t xml:space="preserve">2006; </w:t>
      </w:r>
      <w:r w:rsidR="002A1E7F" w:rsidRPr="002A1E7F">
        <w:rPr>
          <w:rFonts w:ascii="Times New Roman" w:hAnsi="Times New Roman" w:cs="Times New Roman"/>
          <w:sz w:val="24"/>
          <w:szCs w:val="24"/>
        </w:rPr>
        <w:t>Lewis</w:t>
      </w:r>
      <w:r w:rsidR="002A1E7F" w:rsidRPr="002A1E7F">
        <w:rPr>
          <w:rFonts w:ascii="Times New Roman" w:hAnsi="Times New Roman" w:cs="Times New Roman"/>
          <w:sz w:val="24"/>
          <w:szCs w:val="24"/>
        </w:rPr>
        <w:t xml:space="preserve"> and Simpson 2017)</w:t>
      </w:r>
      <w:r w:rsidR="002A1E7F">
        <w:rPr>
          <w:rFonts w:ascii="Times New Roman" w:hAnsi="Times New Roman" w:cs="Times New Roman"/>
          <w:sz w:val="24"/>
          <w:szCs w:val="24"/>
        </w:rPr>
        <w:t xml:space="preserve"> fail to address the topic from the consideration of the broad gender spectrum.</w:t>
      </w:r>
    </w:p>
    <w:p w14:paraId="09DF6F03" w14:textId="00A2FA86" w:rsidR="0009006A" w:rsidRPr="00B216E2" w:rsidRDefault="00694E46" w:rsidP="00B216E2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216E2">
        <w:rPr>
          <w:rFonts w:ascii="Times New Roman" w:hAnsi="Times New Roman" w:cs="Times New Roman"/>
          <w:sz w:val="24"/>
          <w:szCs w:val="24"/>
        </w:rPr>
        <w:t>The need to address preference formation with more open view</w:t>
      </w:r>
      <w:r w:rsidR="00EA4FFB">
        <w:rPr>
          <w:rFonts w:ascii="Times New Roman" w:hAnsi="Times New Roman" w:cs="Times New Roman"/>
          <w:sz w:val="24"/>
          <w:szCs w:val="24"/>
        </w:rPr>
        <w:t>s</w:t>
      </w:r>
      <w:r w:rsidRPr="00B216E2">
        <w:rPr>
          <w:rFonts w:ascii="Times New Roman" w:hAnsi="Times New Roman" w:cs="Times New Roman"/>
          <w:sz w:val="24"/>
          <w:szCs w:val="24"/>
        </w:rPr>
        <w:t xml:space="preserve"> </w:t>
      </w:r>
      <w:r w:rsidR="00EB5AB8" w:rsidRPr="00B216E2">
        <w:rPr>
          <w:rFonts w:ascii="Times New Roman" w:hAnsi="Times New Roman" w:cs="Times New Roman"/>
          <w:sz w:val="24"/>
          <w:szCs w:val="24"/>
        </w:rPr>
        <w:t xml:space="preserve">regarding the diversity of workers echoes </w:t>
      </w:r>
      <w:r w:rsidR="00EA4FFB">
        <w:rPr>
          <w:rFonts w:ascii="Times New Roman" w:hAnsi="Times New Roman" w:cs="Times New Roman"/>
          <w:sz w:val="24"/>
          <w:szCs w:val="24"/>
        </w:rPr>
        <w:t xml:space="preserve">claims in </w:t>
      </w:r>
      <w:r w:rsidR="00EB5AB8" w:rsidRPr="00B216E2">
        <w:rPr>
          <w:rFonts w:ascii="Times New Roman" w:hAnsi="Times New Roman" w:cs="Times New Roman"/>
          <w:sz w:val="24"/>
          <w:szCs w:val="24"/>
        </w:rPr>
        <w:t xml:space="preserve">WLB research. </w:t>
      </w:r>
      <w:proofErr w:type="spellStart"/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Özbilgin</w:t>
      </w:r>
      <w:proofErr w:type="spellEnd"/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EB5AB8" w:rsidRPr="00B216E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et al.</w:t>
      </w:r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EA4F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2011</w:t>
      </w:r>
      <w:r w:rsidR="00EA4F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state that most of research </w:t>
      </w:r>
      <w:r w:rsidR="00EA4F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 this area </w:t>
      </w:r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focuses on</w:t>
      </w:r>
      <w:r w:rsidR="002616EB" w:rsidRPr="00B216E2">
        <w:rPr>
          <w:rFonts w:ascii="Times New Roman" w:hAnsi="Times New Roman" w:cs="Times New Roman"/>
          <w:sz w:val="24"/>
          <w:szCs w:val="24"/>
        </w:rPr>
        <w:t xml:space="preserve"> the “ideal work-life balancer”</w:t>
      </w:r>
      <w:r w:rsidR="00EA4FFB">
        <w:rPr>
          <w:rFonts w:ascii="Times New Roman" w:hAnsi="Times New Roman" w:cs="Times New Roman"/>
          <w:sz w:val="24"/>
          <w:szCs w:val="24"/>
        </w:rPr>
        <w:t xml:space="preserve">. </w:t>
      </w:r>
      <w:r w:rsidR="006E00E4">
        <w:rPr>
          <w:rFonts w:ascii="Times New Roman" w:hAnsi="Times New Roman" w:cs="Times New Roman"/>
          <w:sz w:val="24"/>
          <w:szCs w:val="24"/>
        </w:rPr>
        <w:t xml:space="preserve">The main focus is on </w:t>
      </w:r>
      <w:r w:rsidR="007D1899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managerial</w:t>
      </w:r>
      <w:r w:rsidR="00314E8B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professional female workers in Western</w:t>
      </w:r>
      <w:r w:rsidR="007D1899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countries, in a specific moment of the life course, and in a specific type of family.</w:t>
      </w:r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Similarly</w:t>
      </w:r>
      <w:r w:rsidR="006E00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EB5AB8"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working time preferences need to be examined in a more inclusive manner.</w:t>
      </w:r>
    </w:p>
    <w:p w14:paraId="48C13482" w14:textId="58744BF1" w:rsidR="005A1104" w:rsidRPr="00B216E2" w:rsidRDefault="000E024C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Therefore, t</w:t>
      </w:r>
      <w:r w:rsidR="005A1104" w:rsidRPr="00B216E2">
        <w:rPr>
          <w:rFonts w:ascii="Times New Roman" w:hAnsi="Times New Roman" w:cs="Times New Roman"/>
          <w:sz w:val="24"/>
          <w:szCs w:val="24"/>
        </w:rPr>
        <w:t>his stream proposes to analyze working time preferences from a broad diversity perspective</w:t>
      </w:r>
      <w:r w:rsidR="00EB5AB8" w:rsidRPr="00B216E2">
        <w:rPr>
          <w:rFonts w:ascii="Times New Roman" w:hAnsi="Times New Roman" w:cs="Times New Roman"/>
          <w:sz w:val="24"/>
          <w:szCs w:val="24"/>
        </w:rPr>
        <w:t>, and more specifically, across the gender spectrum.</w:t>
      </w:r>
    </w:p>
    <w:p w14:paraId="443F7E6C" w14:textId="4179C3DC" w:rsidR="008C1D6F" w:rsidRPr="00B216E2" w:rsidRDefault="008C1D6F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lastRenderedPageBreak/>
        <w:t>Example of research topics include:</w:t>
      </w:r>
    </w:p>
    <w:p w14:paraId="3A3BA461" w14:textId="77777777" w:rsidR="00290F86" w:rsidRDefault="0085459D" w:rsidP="00B216E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 xml:space="preserve">How can organizations adapt to the WPT of their employees? </w:t>
      </w:r>
    </w:p>
    <w:p w14:paraId="00B696CA" w14:textId="3CE9065C" w:rsidR="0085459D" w:rsidRDefault="0085459D" w:rsidP="00B216E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What policies can be implemented to make organizational practices more inclusive</w:t>
      </w:r>
      <w:r w:rsidR="006E00E4">
        <w:rPr>
          <w:rFonts w:ascii="Times New Roman" w:hAnsi="Times New Roman" w:cs="Times New Roman"/>
          <w:sz w:val="24"/>
          <w:szCs w:val="24"/>
        </w:rPr>
        <w:t xml:space="preserve"> regarding working time options</w:t>
      </w:r>
      <w:r w:rsidRPr="00B216E2">
        <w:rPr>
          <w:rFonts w:ascii="Times New Roman" w:hAnsi="Times New Roman" w:cs="Times New Roman"/>
          <w:sz w:val="24"/>
          <w:szCs w:val="24"/>
        </w:rPr>
        <w:t>?</w:t>
      </w:r>
    </w:p>
    <w:p w14:paraId="7A5A0626" w14:textId="737025B0" w:rsidR="008C1D6F" w:rsidRPr="00B216E2" w:rsidRDefault="008C1D6F" w:rsidP="00B216E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What are the methodological challenges in researching and measuring WTP?</w:t>
      </w:r>
    </w:p>
    <w:p w14:paraId="2D282C46" w14:textId="77777777" w:rsidR="00290F86" w:rsidRDefault="00D45355" w:rsidP="005D524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F86">
        <w:rPr>
          <w:rFonts w:ascii="Times New Roman" w:hAnsi="Times New Roman" w:cs="Times New Roman"/>
          <w:sz w:val="24"/>
          <w:szCs w:val="24"/>
        </w:rPr>
        <w:t>What are the WTP across the gender spectrum?</w:t>
      </w:r>
      <w:r w:rsidR="000E024C" w:rsidRPr="00290F86">
        <w:rPr>
          <w:rFonts w:ascii="Times New Roman" w:hAnsi="Times New Roman" w:cs="Times New Roman"/>
          <w:sz w:val="24"/>
          <w:szCs w:val="24"/>
        </w:rPr>
        <w:t xml:space="preserve"> </w:t>
      </w:r>
      <w:r w:rsidRPr="00290F86">
        <w:rPr>
          <w:rFonts w:ascii="Times New Roman" w:hAnsi="Times New Roman" w:cs="Times New Roman"/>
          <w:sz w:val="24"/>
          <w:szCs w:val="24"/>
        </w:rPr>
        <w:t xml:space="preserve">How </w:t>
      </w:r>
      <w:r w:rsidR="00290F86" w:rsidRPr="00290F86">
        <w:rPr>
          <w:rFonts w:ascii="Times New Roman" w:hAnsi="Times New Roman" w:cs="Times New Roman"/>
          <w:sz w:val="24"/>
          <w:szCs w:val="24"/>
        </w:rPr>
        <w:t xml:space="preserve">do preferences </w:t>
      </w:r>
      <w:r w:rsidRPr="00290F86">
        <w:rPr>
          <w:rFonts w:ascii="Times New Roman" w:hAnsi="Times New Roman" w:cs="Times New Roman"/>
          <w:sz w:val="24"/>
          <w:szCs w:val="24"/>
        </w:rPr>
        <w:t xml:space="preserve">change over the life course? </w:t>
      </w:r>
    </w:p>
    <w:p w14:paraId="0DEF4DDA" w14:textId="52A5D78E" w:rsidR="00D45355" w:rsidRPr="00290F86" w:rsidRDefault="00290F86" w:rsidP="005D524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reasons why p</w:t>
      </w:r>
      <w:r w:rsidR="0085459D" w:rsidRPr="00290F86">
        <w:rPr>
          <w:rFonts w:ascii="Times New Roman" w:hAnsi="Times New Roman" w:cs="Times New Roman"/>
          <w:sz w:val="24"/>
          <w:szCs w:val="24"/>
        </w:rPr>
        <w:t>eople want to work different hours not necessarily related to traditional gender roles, family responsibilities and life course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73368E3A" w14:textId="77777777" w:rsidR="00375B67" w:rsidRDefault="006E00E4" w:rsidP="00DF01C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5B67">
        <w:rPr>
          <w:rFonts w:ascii="Times New Roman" w:hAnsi="Times New Roman" w:cs="Times New Roman"/>
          <w:sz w:val="24"/>
          <w:szCs w:val="24"/>
        </w:rPr>
        <w:t xml:space="preserve">How should different options for </w:t>
      </w:r>
      <w:r w:rsidR="0085459D" w:rsidRPr="00375B67">
        <w:rPr>
          <w:rFonts w:ascii="Times New Roman" w:hAnsi="Times New Roman" w:cs="Times New Roman"/>
          <w:sz w:val="24"/>
          <w:szCs w:val="24"/>
        </w:rPr>
        <w:t>working hours</w:t>
      </w:r>
      <w:r w:rsidRPr="00375B67">
        <w:rPr>
          <w:rFonts w:ascii="Times New Roman" w:hAnsi="Times New Roman" w:cs="Times New Roman"/>
          <w:sz w:val="24"/>
          <w:szCs w:val="24"/>
        </w:rPr>
        <w:t xml:space="preserve"> be institutionalized? </w:t>
      </w:r>
    </w:p>
    <w:p w14:paraId="4BA79B39" w14:textId="65186062" w:rsidR="00B644A8" w:rsidRPr="00375B67" w:rsidRDefault="00375B67" w:rsidP="00DF01C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5B67">
        <w:rPr>
          <w:rFonts w:ascii="Times New Roman" w:hAnsi="Times New Roman" w:cs="Times New Roman"/>
          <w:sz w:val="24"/>
          <w:szCs w:val="24"/>
        </w:rPr>
        <w:t>How can organizational policies and working time frameworks be designed to ensure compatibility between various working time options and both work stability and employees' rights?</w:t>
      </w:r>
    </w:p>
    <w:p w14:paraId="58C1DBFC" w14:textId="77777777" w:rsidR="00375B67" w:rsidRDefault="00375B67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637E00" w14:textId="0EFB463A" w:rsidR="00B644A8" w:rsidRPr="00B216E2" w:rsidRDefault="00B644A8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References:</w:t>
      </w:r>
    </w:p>
    <w:p w14:paraId="6AF13F5D" w14:textId="77777777" w:rsidR="00CE7A08" w:rsidRPr="00B216E2" w:rsidRDefault="00CE7A08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proofErr w:type="spellStart"/>
      <w:r w:rsidRPr="00B216E2">
        <w:rPr>
          <w:rFonts w:ascii="Times New Roman" w:eastAsia="NotoSerif-Regular" w:hAnsi="Times New Roman" w:cs="Times New Roman"/>
          <w:sz w:val="24"/>
          <w:szCs w:val="24"/>
        </w:rPr>
        <w:t>Anxo</w:t>
      </w:r>
      <w:proofErr w:type="spellEnd"/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, Dominique, Letizia </w:t>
      </w:r>
      <w:proofErr w:type="spellStart"/>
      <w:r w:rsidRPr="00B216E2">
        <w:rPr>
          <w:rFonts w:ascii="Times New Roman" w:eastAsia="NotoSerif-Regular" w:hAnsi="Times New Roman" w:cs="Times New Roman"/>
          <w:sz w:val="24"/>
          <w:szCs w:val="24"/>
        </w:rPr>
        <w:t>Mencarini</w:t>
      </w:r>
      <w:proofErr w:type="spellEnd"/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, Ariane </w:t>
      </w:r>
      <w:proofErr w:type="spellStart"/>
      <w:r w:rsidRPr="00B216E2">
        <w:rPr>
          <w:rFonts w:ascii="Times New Roman" w:eastAsia="NotoSerif-Regular" w:hAnsi="Times New Roman" w:cs="Times New Roman"/>
          <w:sz w:val="24"/>
          <w:szCs w:val="24"/>
        </w:rPr>
        <w:t>Pailhé</w:t>
      </w:r>
      <w:proofErr w:type="spellEnd"/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, Anne </w:t>
      </w:r>
      <w:proofErr w:type="spellStart"/>
      <w:r w:rsidRPr="00B216E2">
        <w:rPr>
          <w:rFonts w:ascii="Times New Roman" w:eastAsia="NotoSerif-Regular" w:hAnsi="Times New Roman" w:cs="Times New Roman"/>
          <w:sz w:val="24"/>
          <w:szCs w:val="24"/>
        </w:rPr>
        <w:t>Solaz</w:t>
      </w:r>
      <w:proofErr w:type="spellEnd"/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, Maria Letizia </w:t>
      </w:r>
      <w:proofErr w:type="spellStart"/>
      <w:r w:rsidRPr="00B216E2">
        <w:rPr>
          <w:rFonts w:ascii="Times New Roman" w:eastAsia="NotoSerif-Regular" w:hAnsi="Times New Roman" w:cs="Times New Roman"/>
          <w:sz w:val="24"/>
          <w:szCs w:val="24"/>
        </w:rPr>
        <w:t>Tanturri</w:t>
      </w:r>
      <w:proofErr w:type="spellEnd"/>
      <w:r w:rsidRPr="00B216E2">
        <w:rPr>
          <w:rFonts w:ascii="Times New Roman" w:eastAsia="NotoSerif-Regular" w:hAnsi="Times New Roman" w:cs="Times New Roman"/>
          <w:sz w:val="24"/>
          <w:szCs w:val="24"/>
        </w:rPr>
        <w:t>,</w:t>
      </w:r>
    </w:p>
    <w:p w14:paraId="60F7E6EF" w14:textId="77777777" w:rsidR="00660CF1" w:rsidRDefault="00CE7A08" w:rsidP="00660CF1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and Lennart Flood. 2011. “Gender Differences in Time Use over the Life Course in France, Italy, Sweden, and the US”. </w:t>
      </w:r>
      <w:r w:rsidRPr="00B216E2">
        <w:rPr>
          <w:rFonts w:ascii="Times New Roman" w:eastAsia="NotoSerif-Regular" w:hAnsi="Times New Roman" w:cs="Times New Roman"/>
          <w:i/>
          <w:iCs/>
          <w:sz w:val="24"/>
          <w:szCs w:val="24"/>
        </w:rPr>
        <w:t xml:space="preserve">Feminist Economics </w:t>
      </w:r>
      <w:r w:rsidRPr="00B216E2">
        <w:rPr>
          <w:rFonts w:ascii="Times New Roman" w:eastAsia="NotoSerif-Regular" w:hAnsi="Times New Roman" w:cs="Times New Roman"/>
          <w:sz w:val="24"/>
          <w:szCs w:val="24"/>
        </w:rPr>
        <w:t>17 (3): 159–195.</w:t>
      </w:r>
    </w:p>
    <w:p w14:paraId="7B5B6B8F" w14:textId="77777777" w:rsidR="00660CF1" w:rsidRPr="00660CF1" w:rsidRDefault="00660CF1" w:rsidP="00660CF1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</w:p>
    <w:p w14:paraId="1F7B8D16" w14:textId="21635909" w:rsidR="00B644A8" w:rsidRPr="00660CF1" w:rsidRDefault="00B644A8" w:rsidP="00660CF1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proofErr w:type="spellStart"/>
      <w:r w:rsidRPr="00660CF1">
        <w:rPr>
          <w:rFonts w:ascii="Times New Roman" w:eastAsia="NotoSerif-Regular" w:hAnsi="Times New Roman" w:cs="Times New Roman"/>
          <w:sz w:val="24"/>
          <w:szCs w:val="24"/>
        </w:rPr>
        <w:t>Balderson</w:t>
      </w:r>
      <w:proofErr w:type="spellEnd"/>
      <w:r w:rsidRPr="00660CF1">
        <w:rPr>
          <w:rFonts w:ascii="Times New Roman" w:eastAsia="NotoSerif-Regular" w:hAnsi="Times New Roman" w:cs="Times New Roman"/>
          <w:sz w:val="24"/>
          <w:szCs w:val="24"/>
        </w:rPr>
        <w:t xml:space="preserve">, U., Burchell, B., </w:t>
      </w:r>
      <w:proofErr w:type="spellStart"/>
      <w:r w:rsidRPr="00660CF1">
        <w:rPr>
          <w:rFonts w:ascii="Times New Roman" w:eastAsia="NotoSerif-Regular" w:hAnsi="Times New Roman" w:cs="Times New Roman"/>
          <w:sz w:val="24"/>
          <w:szCs w:val="24"/>
        </w:rPr>
        <w:t>Kamerāde</w:t>
      </w:r>
      <w:proofErr w:type="spellEnd"/>
      <w:r w:rsidRPr="00660CF1">
        <w:rPr>
          <w:rFonts w:ascii="Times New Roman" w:eastAsia="NotoSerif-Regular" w:hAnsi="Times New Roman" w:cs="Times New Roman"/>
          <w:sz w:val="24"/>
          <w:szCs w:val="24"/>
        </w:rPr>
        <w:t>, D., Wang, S., &amp; Coutts, A. (2021). An exploration of the multiple motivations for spending less time at work. Time &amp; Society, 30(1), 55-77.</w:t>
      </w:r>
    </w:p>
    <w:p w14:paraId="0A939BB6" w14:textId="6C9B7F33" w:rsidR="00B644A8" w:rsidRPr="00660CF1" w:rsidRDefault="00B644A8" w:rsidP="00660CF1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r w:rsidRPr="00660CF1">
        <w:rPr>
          <w:rFonts w:ascii="Times New Roman" w:eastAsia="NotoSerif-Regular" w:hAnsi="Times New Roman" w:cs="Times New Roman"/>
          <w:sz w:val="24"/>
          <w:szCs w:val="24"/>
        </w:rPr>
        <w:t xml:space="preserve">Campbell, I., &amp; van </w:t>
      </w:r>
      <w:proofErr w:type="spellStart"/>
      <w:r w:rsidRPr="00660CF1">
        <w:rPr>
          <w:rFonts w:ascii="Times New Roman" w:eastAsia="NotoSerif-Regular" w:hAnsi="Times New Roman" w:cs="Times New Roman"/>
          <w:sz w:val="24"/>
          <w:szCs w:val="24"/>
        </w:rPr>
        <w:t>Wanrooy</w:t>
      </w:r>
      <w:proofErr w:type="spellEnd"/>
      <w:r w:rsidRPr="00660CF1">
        <w:rPr>
          <w:rFonts w:ascii="Times New Roman" w:eastAsia="NotoSerif-Regular" w:hAnsi="Times New Roman" w:cs="Times New Roman"/>
          <w:sz w:val="24"/>
          <w:szCs w:val="24"/>
        </w:rPr>
        <w:t>, B. (2013). Long working hours and working-time preferences: Between desirability and feasibility. Human Relations, 66(8), 1131-1155.</w:t>
      </w:r>
    </w:p>
    <w:p w14:paraId="3E477E97" w14:textId="77777777" w:rsidR="00660CF1" w:rsidRDefault="00660CF1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</w:p>
    <w:p w14:paraId="0649CAF8" w14:textId="7D3A3D1D" w:rsidR="00CE7A08" w:rsidRPr="00B216E2" w:rsidRDefault="00CE7A08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r w:rsidRPr="00B216E2">
        <w:rPr>
          <w:rFonts w:ascii="Times New Roman" w:eastAsia="NotoSerif-Regular" w:hAnsi="Times New Roman" w:cs="Times New Roman"/>
          <w:sz w:val="24"/>
          <w:szCs w:val="24"/>
        </w:rPr>
        <w:t>Fagan, Colette. 2001. “Time, Money and the Gender Order: Work Orientations and</w:t>
      </w:r>
    </w:p>
    <w:p w14:paraId="57FC4F27" w14:textId="77777777" w:rsidR="00CE7A08" w:rsidRPr="00B216E2" w:rsidRDefault="00CE7A08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Working‐Time Preferences in Britain”. </w:t>
      </w:r>
      <w:r w:rsidRPr="00B216E2">
        <w:rPr>
          <w:rFonts w:ascii="Times New Roman" w:eastAsia="NotoSerif-Regular" w:hAnsi="Times New Roman" w:cs="Times New Roman"/>
          <w:i/>
          <w:iCs/>
          <w:sz w:val="24"/>
          <w:szCs w:val="24"/>
        </w:rPr>
        <w:t xml:space="preserve">Gender, Work &amp; Organization </w:t>
      </w:r>
      <w:r w:rsidRPr="00B216E2">
        <w:rPr>
          <w:rFonts w:ascii="Times New Roman" w:eastAsia="NotoSerif-Regular" w:hAnsi="Times New Roman" w:cs="Times New Roman"/>
          <w:sz w:val="24"/>
          <w:szCs w:val="24"/>
        </w:rPr>
        <w:t>8 (3): 239–266.</w:t>
      </w:r>
    </w:p>
    <w:p w14:paraId="0A5BD50C" w14:textId="33BBD5B9" w:rsidR="00CE7A08" w:rsidRPr="00B216E2" w:rsidRDefault="00CE7A08" w:rsidP="00B216E2">
      <w:pPr>
        <w:autoSpaceDE w:val="0"/>
        <w:autoSpaceDN w:val="0"/>
        <w:adjustRightInd w:val="0"/>
        <w:spacing w:after="0" w:line="360" w:lineRule="auto"/>
        <w:ind w:firstLine="405"/>
        <w:rPr>
          <w:rFonts w:ascii="Times New Roman" w:eastAsia="NotoSerif-Regular" w:hAnsi="Times New Roman" w:cs="Times New Roman"/>
          <w:sz w:val="24"/>
          <w:szCs w:val="24"/>
        </w:rPr>
      </w:pPr>
    </w:p>
    <w:p w14:paraId="5FD6A568" w14:textId="77777777" w:rsidR="00694E46" w:rsidRPr="00B216E2" w:rsidRDefault="00694E46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Italic" w:hAnsi="Times New Roman" w:cs="Times New Roman"/>
          <w:i/>
          <w:iCs/>
          <w:sz w:val="24"/>
          <w:szCs w:val="24"/>
        </w:rPr>
      </w:pPr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Hakim, Catherine. 1996. </w:t>
      </w:r>
      <w:r w:rsidRPr="00B216E2">
        <w:rPr>
          <w:rFonts w:ascii="Times New Roman" w:eastAsia="NotoSerif-Italic" w:hAnsi="Times New Roman" w:cs="Times New Roman"/>
          <w:i/>
          <w:iCs/>
          <w:sz w:val="24"/>
          <w:szCs w:val="24"/>
        </w:rPr>
        <w:t>Key Issues in Women’s Work: Female Heterogeneity and the</w:t>
      </w:r>
    </w:p>
    <w:p w14:paraId="489466D7" w14:textId="77777777" w:rsidR="00694E46" w:rsidRPr="00B216E2" w:rsidRDefault="00694E46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proofErr w:type="spellStart"/>
      <w:r w:rsidRPr="00B216E2">
        <w:rPr>
          <w:rFonts w:ascii="Times New Roman" w:eastAsia="NotoSerif-Italic" w:hAnsi="Times New Roman" w:cs="Times New Roman"/>
          <w:i/>
          <w:iCs/>
          <w:sz w:val="24"/>
          <w:szCs w:val="24"/>
        </w:rPr>
        <w:t>Polarisation</w:t>
      </w:r>
      <w:proofErr w:type="spellEnd"/>
      <w:r w:rsidRPr="00B216E2">
        <w:rPr>
          <w:rFonts w:ascii="Times New Roman" w:eastAsia="NotoSerif-Italic" w:hAnsi="Times New Roman" w:cs="Times New Roman"/>
          <w:i/>
          <w:iCs/>
          <w:sz w:val="24"/>
          <w:szCs w:val="24"/>
        </w:rPr>
        <w:t xml:space="preserve"> of Women’s Employment. </w:t>
      </w:r>
      <w:r w:rsidRPr="00B216E2">
        <w:rPr>
          <w:rFonts w:ascii="Times New Roman" w:eastAsia="NotoSerif-Regular" w:hAnsi="Times New Roman" w:cs="Times New Roman"/>
          <w:sz w:val="24"/>
          <w:szCs w:val="24"/>
        </w:rPr>
        <w:t>London: Athlone Press.</w:t>
      </w:r>
    </w:p>
    <w:p w14:paraId="083A026A" w14:textId="77777777" w:rsidR="00694E46" w:rsidRPr="00B216E2" w:rsidRDefault="00694E46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</w:p>
    <w:p w14:paraId="4802F89E" w14:textId="1F96A2CF" w:rsidR="00694E46" w:rsidRPr="00B216E2" w:rsidRDefault="00694E46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r w:rsidRPr="00B216E2">
        <w:rPr>
          <w:rFonts w:ascii="Times New Roman" w:eastAsia="NotoSerif-Regular" w:hAnsi="Times New Roman" w:cs="Times New Roman"/>
          <w:sz w:val="24"/>
          <w:szCs w:val="24"/>
        </w:rPr>
        <w:lastRenderedPageBreak/>
        <w:t>Hakim, Catherine. 2003. “Competing Family Models, Competing Social Policies”. Family Matters 64. (Autumn): 52–61.</w:t>
      </w:r>
    </w:p>
    <w:p w14:paraId="05DD0B86" w14:textId="77777777" w:rsidR="00694E46" w:rsidRPr="00B216E2" w:rsidRDefault="00694E46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</w:p>
    <w:p w14:paraId="1D3EAB11" w14:textId="555A5789" w:rsidR="0085459D" w:rsidRPr="00B216E2" w:rsidRDefault="0085459D" w:rsidP="00B216E2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International Labor Organization (ILO) (2023). Working Time and Work-Life Balance Around the World. Geneva: International </w:t>
      </w:r>
      <w:proofErr w:type="spellStart"/>
      <w:r w:rsidRPr="00B216E2">
        <w:rPr>
          <w:rFonts w:ascii="Times New Roman" w:eastAsia="NotoSerif-Regular" w:hAnsi="Times New Roman" w:cs="Times New Roman"/>
          <w:sz w:val="24"/>
          <w:szCs w:val="24"/>
        </w:rPr>
        <w:t>Labour</w:t>
      </w:r>
      <w:proofErr w:type="spellEnd"/>
      <w:r w:rsidRPr="00B216E2">
        <w:rPr>
          <w:rFonts w:ascii="Times New Roman" w:eastAsia="NotoSerif-Regular" w:hAnsi="Times New Roman" w:cs="Times New Roman"/>
          <w:sz w:val="24"/>
          <w:szCs w:val="24"/>
        </w:rPr>
        <w:t xml:space="preserve"> Office, 2022</w:t>
      </w:r>
    </w:p>
    <w:p w14:paraId="05F7592F" w14:textId="5DB3E2CB" w:rsidR="002A1E7F" w:rsidRDefault="002A1E7F" w:rsidP="002A1E7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9108007" w14:textId="7C4DAA48" w:rsidR="002A1E7F" w:rsidRPr="002A1E7F" w:rsidRDefault="002A1E7F" w:rsidP="002A1E7F">
      <w:pPr>
        <w:autoSpaceDE w:val="0"/>
        <w:autoSpaceDN w:val="0"/>
        <w:adjustRightInd w:val="0"/>
        <w:spacing w:after="0" w:line="360" w:lineRule="auto"/>
        <w:rPr>
          <w:rStyle w:val="ui-provider"/>
          <w:rFonts w:ascii="Times New Roman" w:hAnsi="Times New Roman" w:cs="Times New Roman"/>
          <w:sz w:val="24"/>
          <w:szCs w:val="24"/>
        </w:rPr>
      </w:pPr>
      <w:r w:rsidRPr="002A1E7F">
        <w:rPr>
          <w:rStyle w:val="ui-provider"/>
          <w:rFonts w:ascii="Times New Roman" w:hAnsi="Times New Roman" w:cs="Times New Roman"/>
          <w:sz w:val="24"/>
          <w:szCs w:val="24"/>
        </w:rPr>
        <w:t xml:space="preserve">Leahy M., &amp; </w:t>
      </w:r>
      <w:proofErr w:type="spellStart"/>
      <w:r w:rsidRPr="002A1E7F">
        <w:rPr>
          <w:rStyle w:val="ui-provider"/>
          <w:rFonts w:ascii="Times New Roman" w:hAnsi="Times New Roman" w:cs="Times New Roman"/>
          <w:sz w:val="24"/>
          <w:szCs w:val="24"/>
        </w:rPr>
        <w:t>Doughney</w:t>
      </w:r>
      <w:proofErr w:type="spellEnd"/>
      <w:r w:rsidRPr="002A1E7F">
        <w:rPr>
          <w:rStyle w:val="ui-provider"/>
          <w:rFonts w:ascii="Times New Roman" w:hAnsi="Times New Roman" w:cs="Times New Roman"/>
          <w:sz w:val="24"/>
          <w:szCs w:val="24"/>
        </w:rPr>
        <w:t xml:space="preserve"> J. (2006). Women, Work and Preference Formation: A Critique of Catherine Hakim’s Preference Theory. </w:t>
      </w:r>
      <w:r w:rsidRPr="002A1E7F">
        <w:rPr>
          <w:rStyle w:val="ui-provider"/>
          <w:rFonts w:ascii="Times New Roman" w:hAnsi="Times New Roman" w:cs="Times New Roman"/>
          <w:i/>
          <w:iCs/>
          <w:sz w:val="24"/>
          <w:szCs w:val="24"/>
        </w:rPr>
        <w:t>Journal of Law and Governance</w:t>
      </w:r>
      <w:r w:rsidRPr="002A1E7F">
        <w:rPr>
          <w:rStyle w:val="ui-provider"/>
          <w:rFonts w:ascii="Times New Roman" w:hAnsi="Times New Roman" w:cs="Times New Roman"/>
          <w:sz w:val="24"/>
          <w:szCs w:val="24"/>
        </w:rPr>
        <w:t xml:space="preserve">, </w:t>
      </w:r>
      <w:r w:rsidRPr="002A1E7F">
        <w:rPr>
          <w:rStyle w:val="ui-provider"/>
          <w:rFonts w:ascii="Times New Roman" w:hAnsi="Times New Roman" w:cs="Times New Roman"/>
          <w:i/>
          <w:iCs/>
          <w:sz w:val="24"/>
          <w:szCs w:val="24"/>
        </w:rPr>
        <w:t>1</w:t>
      </w:r>
      <w:r w:rsidRPr="002A1E7F">
        <w:rPr>
          <w:rStyle w:val="ui-provider"/>
          <w:rFonts w:ascii="Times New Roman" w:hAnsi="Times New Roman" w:cs="Times New Roman"/>
          <w:sz w:val="24"/>
          <w:szCs w:val="24"/>
        </w:rPr>
        <w:t xml:space="preserve">(1), 37–48. </w:t>
      </w:r>
      <w:hyperlink r:id="rId8" w:tgtFrame="_blank" w:tooltip="https://doi.org/10.15209/jbsge.v1i1.79" w:history="1">
        <w:r w:rsidRPr="002A1E7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https://doi.org/10.15209/jbsge.v1i1.79</w:t>
        </w:r>
      </w:hyperlink>
    </w:p>
    <w:p w14:paraId="4A8A8A1C" w14:textId="77777777" w:rsidR="002A1E7F" w:rsidRPr="002A1E7F" w:rsidRDefault="002A1E7F" w:rsidP="002A1E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81A1404" w14:textId="3B7EAE74" w:rsidR="002A1E7F" w:rsidRPr="002A1E7F" w:rsidRDefault="002A1E7F" w:rsidP="002A1E7F">
      <w:pPr>
        <w:autoSpaceDE w:val="0"/>
        <w:autoSpaceDN w:val="0"/>
        <w:adjustRightInd w:val="0"/>
        <w:spacing w:after="0" w:line="360" w:lineRule="auto"/>
        <w:rPr>
          <w:rFonts w:ascii="Times New Roman" w:eastAsia="NotoSerif-Regular" w:hAnsi="Times New Roman" w:cs="Times New Roman"/>
          <w:sz w:val="24"/>
          <w:szCs w:val="24"/>
        </w:rPr>
      </w:pPr>
      <w:r w:rsidRPr="002A1E7F">
        <w:rPr>
          <w:rFonts w:ascii="Times New Roman" w:eastAsia="NotoSerif-Regular" w:hAnsi="Times New Roman" w:cs="Times New Roman"/>
          <w:sz w:val="24"/>
          <w:szCs w:val="24"/>
        </w:rPr>
        <w:t>Lewis, P., &amp; Simpson, R. (2017). Hakim revisited: Preference, choice and the postfeminist gender regime. Gender, Work &amp; Organization, 24(2), 115-133.</w:t>
      </w:r>
    </w:p>
    <w:p w14:paraId="636320E9" w14:textId="77777777" w:rsidR="00CE7A08" w:rsidRPr="00B216E2" w:rsidRDefault="00CE7A08" w:rsidP="00B216E2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B792736" w14:textId="4CFBEC29" w:rsidR="00B644A8" w:rsidRPr="00B216E2" w:rsidRDefault="000A239B" w:rsidP="00B216E2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Özbilgin</w:t>
      </w:r>
      <w:proofErr w:type="spellEnd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M. F., Beauregard, T. A., </w:t>
      </w:r>
      <w:proofErr w:type="spellStart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Tatli</w:t>
      </w:r>
      <w:proofErr w:type="spellEnd"/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A., &amp; Bell, M. P. (2011). Work–life, diversity and intersectionality: A critical review and research agenda. </w:t>
      </w:r>
      <w:r w:rsidRPr="00B216E2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International Journal of Management Reviews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216E2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13</w:t>
      </w:r>
      <w:r w:rsidRPr="00B21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177-198.</w:t>
      </w:r>
    </w:p>
    <w:p w14:paraId="13E20481" w14:textId="3339254A" w:rsidR="00CE7A08" w:rsidRDefault="00CE7A08" w:rsidP="00B21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4A6A6A" w14:textId="77777777" w:rsidR="00290F86" w:rsidRPr="00290F86" w:rsidRDefault="00290F86" w:rsidP="00290F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F86">
        <w:rPr>
          <w:rFonts w:ascii="Times New Roman" w:hAnsi="Times New Roman" w:cs="Times New Roman"/>
          <w:b/>
          <w:sz w:val="24"/>
          <w:szCs w:val="24"/>
        </w:rPr>
        <w:t xml:space="preserve">Stream Chairs: </w:t>
      </w:r>
    </w:p>
    <w:p w14:paraId="71DB02A1" w14:textId="77777777"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B216E2">
        <w:rPr>
          <w:rFonts w:ascii="Times New Roman" w:hAnsi="Times New Roman" w:cs="Times New Roman"/>
          <w:sz w:val="24"/>
          <w:szCs w:val="24"/>
        </w:rPr>
        <w:t>onxita Folguera Bellmunt</w:t>
      </w:r>
    </w:p>
    <w:p w14:paraId="131F0F80" w14:textId="37A11A92"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Associate Professor, People Management and Organization Department.</w:t>
      </w:r>
    </w:p>
    <w:p w14:paraId="2C17F0EB" w14:textId="2639C451"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Esade.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Ramon </w:t>
      </w:r>
      <w:proofErr w:type="spellStart"/>
      <w:r>
        <w:rPr>
          <w:rFonts w:ascii="Times New Roman" w:hAnsi="Times New Roman" w:cs="Times New Roman"/>
          <w:sz w:val="24"/>
          <w:szCs w:val="24"/>
        </w:rPr>
        <w:t>Llull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12D2701" w14:textId="0C3E0119"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78A1A9" w14:textId="77777777"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16E2">
        <w:rPr>
          <w:rFonts w:ascii="Times New Roman" w:hAnsi="Times New Roman" w:cs="Times New Roman"/>
          <w:sz w:val="24"/>
          <w:szCs w:val="24"/>
        </w:rPr>
        <w:t>Laura Lamolla Kristiansen</w:t>
      </w:r>
    </w:p>
    <w:p w14:paraId="75DEB2C6" w14:textId="77777777"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Lecturer at Economic and Business Studies</w:t>
      </w:r>
    </w:p>
    <w:p w14:paraId="7B7D59BA" w14:textId="77777777" w:rsidR="00290F86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Universitat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Catalunya.</w:t>
      </w:r>
      <w:r w:rsidRPr="00B216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BCC43E" w14:textId="77777777" w:rsidR="00290F86" w:rsidRPr="00B216E2" w:rsidRDefault="00290F86" w:rsidP="00290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90F86" w:rsidRPr="00B216E2" w:rsidSect="00155E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C995F2-1182-4D7C-932B-90A9958EC5BA}"/>
    <w:embedBold r:id="rId2" w:fontKey="{7DEECA22-67BF-4CDE-BEE1-E788E0A4652E}"/>
    <w:embedItalic r:id="rId3" w:fontKey="{12C2852D-CC91-43CB-B38A-66BB1089B2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Serif-Regular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NotoSerif-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BF4C9F"/>
    <w:multiLevelType w:val="hybridMultilevel"/>
    <w:tmpl w:val="D5E2C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F63"/>
    <w:rsid w:val="00066159"/>
    <w:rsid w:val="0009006A"/>
    <w:rsid w:val="000A239B"/>
    <w:rsid w:val="000E024C"/>
    <w:rsid w:val="00155E8F"/>
    <w:rsid w:val="002616EB"/>
    <w:rsid w:val="00290F86"/>
    <w:rsid w:val="002A1E7F"/>
    <w:rsid w:val="00314E8B"/>
    <w:rsid w:val="0034343F"/>
    <w:rsid w:val="00375B67"/>
    <w:rsid w:val="00571D13"/>
    <w:rsid w:val="005A1104"/>
    <w:rsid w:val="005C4EA0"/>
    <w:rsid w:val="005D0F63"/>
    <w:rsid w:val="006370A6"/>
    <w:rsid w:val="00660CF1"/>
    <w:rsid w:val="006749B3"/>
    <w:rsid w:val="00694E46"/>
    <w:rsid w:val="006E00E4"/>
    <w:rsid w:val="007573DF"/>
    <w:rsid w:val="007678F0"/>
    <w:rsid w:val="007D1899"/>
    <w:rsid w:val="007F110B"/>
    <w:rsid w:val="0085459D"/>
    <w:rsid w:val="00896EEA"/>
    <w:rsid w:val="008C1D6F"/>
    <w:rsid w:val="00A2555E"/>
    <w:rsid w:val="00B216E2"/>
    <w:rsid w:val="00B644A8"/>
    <w:rsid w:val="00CE7A08"/>
    <w:rsid w:val="00D376A6"/>
    <w:rsid w:val="00D405A5"/>
    <w:rsid w:val="00D45355"/>
    <w:rsid w:val="00D84FFD"/>
    <w:rsid w:val="00EA4FFB"/>
    <w:rsid w:val="00EB5AB8"/>
    <w:rsid w:val="00F0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05AE8"/>
  <w15:chartTrackingRefBased/>
  <w15:docId w15:val="{FC681656-2F33-4119-A3F3-B5270844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A4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A2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3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3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39B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0A239B"/>
    <w:pPr>
      <w:spacing w:after="0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8C1D6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A4F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A4FFB"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EA4F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i-provider">
    <w:name w:val="ui-provider"/>
    <w:basedOn w:val="DefaultParagraphFont"/>
    <w:rsid w:val="002A1E7F"/>
  </w:style>
  <w:style w:type="character" w:styleId="Hyperlink">
    <w:name w:val="Hyperlink"/>
    <w:basedOn w:val="DefaultParagraphFont"/>
    <w:uiPriority w:val="99"/>
    <w:semiHidden/>
    <w:unhideWhenUsed/>
    <w:rsid w:val="002A1E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5209/jbsge.v1i1.79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BEC08AE5220B489A54BE32845946A2" ma:contentTypeVersion="18" ma:contentTypeDescription="Crear nuevo documento." ma:contentTypeScope="" ma:versionID="93130e4ddc293e596dfa37aa5c0cd720">
  <xsd:schema xmlns:xsd="http://www.w3.org/2001/XMLSchema" xmlns:xs="http://www.w3.org/2001/XMLSchema" xmlns:p="http://schemas.microsoft.com/office/2006/metadata/properties" xmlns:ns3="af1ece98-80bf-4af0-b9ab-fedf9fa4a0a4" xmlns:ns4="4e542b2e-c761-4733-9dfe-823e24998501" targetNamespace="http://schemas.microsoft.com/office/2006/metadata/properties" ma:root="true" ma:fieldsID="166a6ee0ac422ac5a601328f4174b523" ns3:_="" ns4:_="">
    <xsd:import namespace="af1ece98-80bf-4af0-b9ab-fedf9fa4a0a4"/>
    <xsd:import namespace="4e542b2e-c761-4733-9dfe-823e249985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ece98-80bf-4af0-b9ab-fedf9fa4a0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542b2e-c761-4733-9dfe-823e24998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542b2e-c761-4733-9dfe-823e24998501" xsi:nil="true"/>
  </documentManagement>
</p:properties>
</file>

<file path=customXml/itemProps1.xml><?xml version="1.0" encoding="utf-8"?>
<ds:datastoreItem xmlns:ds="http://schemas.openxmlformats.org/officeDocument/2006/customXml" ds:itemID="{8FDF9C57-F22D-4393-8971-0969D2697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FA2499-2AB6-4CE3-AFFE-EF574C306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1ece98-80bf-4af0-b9ab-fedf9fa4a0a4"/>
    <ds:schemaRef ds:uri="4e542b2e-c761-4733-9dfe-823e249985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13699A-E1B0-420A-BB04-E8A805023AC4}">
  <ds:schemaRefs>
    <ds:schemaRef ds:uri="af1ece98-80bf-4af0-b9ab-fedf9fa4a0a4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4e542b2e-c761-4733-9dfe-823e24998501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Folguera Bellmunt, Conxita</dc:creator>
  <cp:keywords/>
  <dc:description/>
  <cp:lastModifiedBy>Folguera Bellmunt, Conxita</cp:lastModifiedBy>
  <cp:revision>2</cp:revision>
  <dcterms:created xsi:type="dcterms:W3CDTF">2024-01-24T09:17:00Z</dcterms:created>
  <dcterms:modified xsi:type="dcterms:W3CDTF">2024-01-24T09:17:00Z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0x01010040BEC08AE5220B489A54BE32845946A2</vt:lpwstr>
  </property>
</Properties>
</file>